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65305" w14:textId="77777777" w:rsidR="00BB4A7E" w:rsidRDefault="00A4404D" w:rsidP="00A4404D">
      <w:pPr>
        <w:pStyle w:val="NormalWeb"/>
        <w:shd w:val="clear" w:color="auto" w:fill="FFFFFF"/>
        <w:jc w:val="both"/>
      </w:pPr>
      <w:r w:rsidRPr="00744957">
        <w:t xml:space="preserve">Recomendações e esclarecimentos sobre os produtos a serem utilizados em procedimentos de desinfecção em locais públicos realizados durante a pandemia da COVID-19. </w:t>
      </w:r>
    </w:p>
    <w:p w14:paraId="6F96853F" w14:textId="07B37C41" w:rsidR="00A4404D" w:rsidRPr="00BB4A7E" w:rsidRDefault="00A4404D" w:rsidP="00A4404D">
      <w:pPr>
        <w:pStyle w:val="NormalWeb"/>
        <w:shd w:val="clear" w:color="auto" w:fill="FFFFFF"/>
        <w:jc w:val="both"/>
      </w:pPr>
      <w:r w:rsidRPr="00744957">
        <w:t>EM APOIO - NOTA TÉCNICA No 38/2020</w:t>
      </w:r>
      <w:r w:rsidR="00BB4A7E">
        <w:t xml:space="preserve"> </w:t>
      </w:r>
      <w:r w:rsidRPr="00744957">
        <w:t>- Desinfecção de pessoas em ambientes públicos e hospitais durante a pandemia de C</w:t>
      </w:r>
      <w:r w:rsidR="00744957">
        <w:t>OVID-</w:t>
      </w:r>
      <w:r w:rsidRPr="00744957">
        <w:t>19</w:t>
      </w:r>
      <w:r w:rsidR="00BB4A7E">
        <w:t xml:space="preserve"> -</w:t>
      </w:r>
      <w:r w:rsidR="00744957">
        <w:t xml:space="preserve"> </w:t>
      </w:r>
      <w:r w:rsidRPr="00744957">
        <w:t>Diante ao momento delicado em que nos encontramos, e aos próximos que estão por vir, em função da COVID-19</w:t>
      </w:r>
      <w:r w:rsidR="00BB4A7E">
        <w:t>,</w:t>
      </w:r>
      <w:r w:rsidRPr="00744957">
        <w:t xml:space="preserve"> </w:t>
      </w:r>
      <w:r w:rsidR="00BB4A7E">
        <w:t>e</w:t>
      </w:r>
      <w:r w:rsidRPr="00744957">
        <w:t>xiste</w:t>
      </w:r>
      <w:r w:rsidR="00BB4A7E">
        <w:t>m</w:t>
      </w:r>
      <w:r w:rsidRPr="00744957">
        <w:t xml:space="preserve"> muitas incertezas, por parte de todas as áreas e comunidades, cientificas, da saúde e outras que regulamentam o setor, sobre o que é novo em atividades com essas estruturas, sobre controle e combate ao novo corona vírus. Como no caso de câmaras, cabines ou tuneis</w:t>
      </w:r>
      <w:r w:rsidR="00BB4A7E">
        <w:t xml:space="preserve"> </w:t>
      </w:r>
      <w:r w:rsidRPr="00744957">
        <w:t>para desinfecção de pessoas, que estão sendo utilizados em diversas regiões do País.</w:t>
      </w:r>
      <w:r w:rsidRPr="00DF0B0A">
        <w:rPr>
          <w:rFonts w:ascii="Calibri" w:hAnsi="Calibri" w:cs="Calibri"/>
        </w:rPr>
        <w:t xml:space="preserve"> </w:t>
      </w:r>
      <w:r w:rsidRPr="004D5EC1">
        <w:rPr>
          <w:i/>
          <w:iCs/>
        </w:rPr>
        <w:t xml:space="preserve">“Prefeituras tem promovido a instalação desses sistemas em diversos locais da cidade, como ruas de grande circulação, rodoviárias, etc. também vem sendo adotado em alguns hospitais para desinfecção da </w:t>
      </w:r>
      <w:proofErr w:type="spellStart"/>
      <w:r w:rsidRPr="004D5EC1">
        <w:rPr>
          <w:i/>
          <w:iCs/>
        </w:rPr>
        <w:t>paramentação</w:t>
      </w:r>
      <w:proofErr w:type="spellEnd"/>
      <w:r w:rsidRPr="004D5EC1">
        <w:rPr>
          <w:i/>
          <w:iCs/>
        </w:rPr>
        <w:t xml:space="preserve"> usada pelos profissionais de saúde”.</w:t>
      </w:r>
      <w:r w:rsidRPr="004D5EC1">
        <w:rPr>
          <w:rFonts w:ascii="Calibri" w:hAnsi="Calibri" w:cs="Calibri"/>
        </w:rPr>
        <w:t xml:space="preserve"> </w:t>
      </w:r>
    </w:p>
    <w:p w14:paraId="7C82C59B" w14:textId="044B9165" w:rsidR="00A4404D" w:rsidRPr="004D5EC1" w:rsidRDefault="00A4404D" w:rsidP="00A440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4957">
        <w:rPr>
          <w:rFonts w:ascii="Times New Roman" w:hAnsi="Times New Roman"/>
          <w:sz w:val="24"/>
          <w:szCs w:val="24"/>
        </w:rPr>
        <w:t xml:space="preserve">Inicialmente em nota </w:t>
      </w:r>
      <w:r w:rsidR="00744957" w:rsidRPr="00744957">
        <w:rPr>
          <w:rFonts w:ascii="Times New Roman" w:hAnsi="Times New Roman"/>
          <w:sz w:val="24"/>
          <w:szCs w:val="24"/>
        </w:rPr>
        <w:t>(</w:t>
      </w:r>
      <w:r w:rsidRPr="00744957">
        <w:rPr>
          <w:rFonts w:ascii="Times New Roman" w:hAnsi="Times New Roman"/>
          <w:sz w:val="24"/>
          <w:szCs w:val="24"/>
        </w:rPr>
        <w:t>Nº 38/2020</w:t>
      </w:r>
      <w:r w:rsidR="00744957" w:rsidRPr="00744957">
        <w:rPr>
          <w:rFonts w:ascii="Times New Roman" w:hAnsi="Times New Roman"/>
          <w:sz w:val="24"/>
          <w:szCs w:val="24"/>
        </w:rPr>
        <w:t>)</w:t>
      </w:r>
      <w:r w:rsidRPr="00744957">
        <w:rPr>
          <w:rFonts w:ascii="Times New Roman" w:hAnsi="Times New Roman"/>
          <w:sz w:val="24"/>
          <w:szCs w:val="24"/>
        </w:rPr>
        <w:t>, a ANVISA esclarece que</w:t>
      </w:r>
      <w:r w:rsidR="00744957" w:rsidRPr="00744957">
        <w:rPr>
          <w:rFonts w:ascii="Times New Roman" w:hAnsi="Times New Roman"/>
          <w:sz w:val="24"/>
          <w:szCs w:val="24"/>
        </w:rPr>
        <w:t>,</w:t>
      </w:r>
      <w:r w:rsidRPr="00744957">
        <w:rPr>
          <w:rFonts w:ascii="Times New Roman" w:hAnsi="Times New Roman"/>
          <w:sz w:val="24"/>
          <w:szCs w:val="24"/>
        </w:rPr>
        <w:t xml:space="preserve"> </w:t>
      </w:r>
      <w:r w:rsidRPr="004D5EC1">
        <w:rPr>
          <w:rFonts w:ascii="Times New Roman" w:hAnsi="Times New Roman"/>
          <w:i/>
          <w:iCs/>
          <w:sz w:val="24"/>
          <w:szCs w:val="24"/>
        </w:rPr>
        <w:t xml:space="preserve">“produtos saneantes desinfetantes, são avaliados em objetos e superfícies, mas não sua aplicação direta em pessoas. Dessa forma, não existe, atualmente, produto aprovado pela Anvisa para “desinfecção de pessoas” – </w:t>
      </w:r>
      <w:r w:rsidR="00744957" w:rsidRPr="00744957">
        <w:rPr>
          <w:rFonts w:ascii="Times New Roman" w:hAnsi="Times New Roman"/>
          <w:sz w:val="24"/>
          <w:szCs w:val="24"/>
        </w:rPr>
        <w:t>C</w:t>
      </w:r>
      <w:r w:rsidRPr="00744957">
        <w:rPr>
          <w:rFonts w:ascii="Times New Roman" w:hAnsi="Times New Roman"/>
          <w:sz w:val="24"/>
          <w:szCs w:val="24"/>
        </w:rPr>
        <w:t>onclui</w:t>
      </w:r>
      <w:r w:rsidR="004D5EC1">
        <w:rPr>
          <w:rFonts w:ascii="Times New Roman" w:hAnsi="Times New Roman"/>
          <w:sz w:val="24"/>
          <w:szCs w:val="24"/>
        </w:rPr>
        <w:t xml:space="preserve">: </w:t>
      </w:r>
      <w:r w:rsidRPr="004D5EC1">
        <w:rPr>
          <w:rFonts w:ascii="Times New Roman" w:hAnsi="Times New Roman"/>
          <w:i/>
          <w:iCs/>
          <w:sz w:val="24"/>
          <w:szCs w:val="24"/>
        </w:rPr>
        <w:t xml:space="preserve">“diante de novos estudos, poderá ser modificado este posicionamento, a qualquer momento” </w:t>
      </w:r>
    </w:p>
    <w:p w14:paraId="3FE3D819" w14:textId="086BEBB6" w:rsidR="00A4404D" w:rsidRPr="00596289" w:rsidRDefault="00A4404D" w:rsidP="00A4404D">
      <w:pPr>
        <w:pStyle w:val="NormalWeb"/>
        <w:shd w:val="clear" w:color="auto" w:fill="FFFFFF"/>
        <w:jc w:val="both"/>
        <w:rPr>
          <w:u w:val="single"/>
        </w:rPr>
      </w:pPr>
      <w:r>
        <w:rPr>
          <w:u w:val="single"/>
        </w:rPr>
        <w:t>D</w:t>
      </w:r>
      <w:r w:rsidRPr="00596289">
        <w:rPr>
          <w:u w:val="single"/>
        </w:rPr>
        <w:t xml:space="preserve">iante ao exposto em notas anteriores a ANVISA </w:t>
      </w:r>
      <w:r>
        <w:rPr>
          <w:u w:val="single"/>
        </w:rPr>
        <w:t>esclarece</w:t>
      </w:r>
      <w:r w:rsidR="00744957">
        <w:rPr>
          <w:u w:val="single"/>
        </w:rPr>
        <w:t>:</w:t>
      </w:r>
      <w:r w:rsidRPr="00596289">
        <w:rPr>
          <w:u w:val="single"/>
        </w:rPr>
        <w:t xml:space="preserve"> </w:t>
      </w:r>
    </w:p>
    <w:p w14:paraId="22E61C9D" w14:textId="7E04D65C" w:rsidR="00A4404D" w:rsidRPr="00744957" w:rsidRDefault="00A4404D" w:rsidP="00A4404D">
      <w:pPr>
        <w:pStyle w:val="NormalWeb"/>
        <w:shd w:val="clear" w:color="auto" w:fill="FFFFFF"/>
        <w:jc w:val="both"/>
        <w:rPr>
          <w:i/>
          <w:iCs/>
        </w:rPr>
      </w:pPr>
      <w:r w:rsidRPr="00744957">
        <w:rPr>
          <w:b/>
          <w:bCs/>
        </w:rPr>
        <w:t>Publicado: 20/03/2020 08:24</w:t>
      </w:r>
      <w:r w:rsidR="00744957">
        <w:rPr>
          <w:b/>
          <w:bCs/>
        </w:rPr>
        <w:t xml:space="preserve"> </w:t>
      </w:r>
      <w:r w:rsidRPr="00744957">
        <w:rPr>
          <w:b/>
          <w:bCs/>
        </w:rPr>
        <w:t>- Sobre as medidas de urgência, definiu critérios que</w:t>
      </w:r>
      <w:r w:rsidR="00744957">
        <w:rPr>
          <w:b/>
          <w:bCs/>
        </w:rPr>
        <w:t>,</w:t>
      </w:r>
      <w:r w:rsidRPr="00744957">
        <w:t xml:space="preserve"> </w:t>
      </w:r>
      <w:r w:rsidRPr="004D5EC1">
        <w:rPr>
          <w:i/>
          <w:iCs/>
        </w:rPr>
        <w:t xml:space="preserve">“utilizados da forma correta, os antissépticos e sanitizantes oficinais (obtidos por manipulação) </w:t>
      </w:r>
      <w:r w:rsidRPr="004D5EC1">
        <w:rPr>
          <w:b/>
          <w:bCs/>
          <w:i/>
          <w:iCs/>
        </w:rPr>
        <w:t>são eficazes no combate a contaminações</w:t>
      </w:r>
      <w:r w:rsidRPr="004D5EC1">
        <w:rPr>
          <w:i/>
          <w:iCs/>
        </w:rPr>
        <w:t xml:space="preserve"> </w:t>
      </w:r>
      <w:r w:rsidRPr="004D5EC1">
        <w:rPr>
          <w:b/>
          <w:bCs/>
          <w:i/>
          <w:iCs/>
        </w:rPr>
        <w:t>e reduzem a presença de microrganismos nocivos à saúde, como vírus e bactérias</w:t>
      </w:r>
      <w:r w:rsidRPr="004D5EC1">
        <w:rPr>
          <w:i/>
          <w:iCs/>
        </w:rPr>
        <w:t xml:space="preserve">”. </w:t>
      </w:r>
    </w:p>
    <w:p w14:paraId="70E46B3B" w14:textId="7EA37216" w:rsidR="00A4404D" w:rsidRDefault="00A4404D" w:rsidP="00A4404D">
      <w:pPr>
        <w:pStyle w:val="SemEspaamento"/>
        <w:jc w:val="both"/>
        <w:rPr>
          <w:rFonts w:ascii="OpenSans" w:hAnsi="OpenSans"/>
          <w:b/>
          <w:bCs/>
          <w:sz w:val="20"/>
          <w:szCs w:val="20"/>
        </w:rPr>
      </w:pPr>
      <w:r w:rsidRPr="00744957">
        <w:rPr>
          <w:rFonts w:ascii="Times New Roman" w:hAnsi="Times New Roman"/>
          <w:b/>
          <w:bCs/>
          <w:sz w:val="24"/>
          <w:szCs w:val="24"/>
        </w:rPr>
        <w:t>Publicado em NT Nº 22/2020 Sobre as Recomendações e alertas sobre procedimentos de desinfecção em locais públicos</w:t>
      </w:r>
      <w:r w:rsidR="00744957" w:rsidRPr="00744957">
        <w:rPr>
          <w:rFonts w:ascii="Times New Roman" w:hAnsi="Times New Roman"/>
          <w:b/>
          <w:bCs/>
          <w:sz w:val="24"/>
          <w:szCs w:val="24"/>
        </w:rPr>
        <w:t>:</w:t>
      </w:r>
    </w:p>
    <w:p w14:paraId="05F2991E" w14:textId="1BB50CF4" w:rsidR="00A4404D" w:rsidRPr="004D5EC1" w:rsidRDefault="00A4404D" w:rsidP="00A4404D">
      <w:pPr>
        <w:pStyle w:val="SemEspaamento"/>
        <w:numPr>
          <w:ilvl w:val="0"/>
          <w:numId w:val="6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4D5EC1">
        <w:rPr>
          <w:rFonts w:ascii="Times New Roman" w:hAnsi="Times New Roman"/>
          <w:i/>
          <w:iCs/>
          <w:sz w:val="24"/>
          <w:szCs w:val="24"/>
        </w:rPr>
        <w:t>Esclarecimentos sobre a forma de transmissão da doença e de prevenção em geral</w:t>
      </w:r>
      <w:r w:rsidR="004D5EC1">
        <w:rPr>
          <w:rFonts w:ascii="Times New Roman" w:hAnsi="Times New Roman"/>
          <w:i/>
          <w:iCs/>
          <w:sz w:val="24"/>
          <w:szCs w:val="24"/>
        </w:rPr>
        <w:t>;</w:t>
      </w:r>
      <w:r w:rsidRPr="004D5EC1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6E8CFEA" w14:textId="2E6FE0C7" w:rsidR="00A4404D" w:rsidRPr="004D5EC1" w:rsidRDefault="00A4404D" w:rsidP="00A4404D">
      <w:pPr>
        <w:pStyle w:val="SemEspaamento"/>
        <w:numPr>
          <w:ilvl w:val="0"/>
          <w:numId w:val="6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4D5EC1">
        <w:rPr>
          <w:rFonts w:ascii="Times New Roman" w:hAnsi="Times New Roman"/>
          <w:i/>
          <w:iCs/>
          <w:sz w:val="24"/>
          <w:szCs w:val="24"/>
        </w:rPr>
        <w:t>Recomendações sobre os produtos químicos utilizados para desinfecção</w:t>
      </w:r>
      <w:r w:rsidR="004D5EC1">
        <w:rPr>
          <w:rFonts w:ascii="Times New Roman" w:hAnsi="Times New Roman"/>
          <w:i/>
          <w:iCs/>
          <w:sz w:val="24"/>
          <w:szCs w:val="24"/>
        </w:rPr>
        <w:t>;</w:t>
      </w:r>
    </w:p>
    <w:p w14:paraId="6C7D30CD" w14:textId="7A96C572" w:rsidR="00A4404D" w:rsidRPr="004D5EC1" w:rsidRDefault="00A4404D" w:rsidP="00A4404D">
      <w:pPr>
        <w:pStyle w:val="SemEspaamento"/>
        <w:numPr>
          <w:ilvl w:val="0"/>
          <w:numId w:val="6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4D5EC1">
        <w:rPr>
          <w:rFonts w:ascii="Times New Roman" w:hAnsi="Times New Roman"/>
          <w:i/>
          <w:iCs/>
          <w:sz w:val="24"/>
          <w:szCs w:val="24"/>
        </w:rPr>
        <w:t xml:space="preserve">Riscos específicos decorrentes da </w:t>
      </w:r>
      <w:r w:rsidR="00744957" w:rsidRPr="004D5EC1">
        <w:rPr>
          <w:rFonts w:ascii="Times New Roman" w:hAnsi="Times New Roman"/>
          <w:i/>
          <w:iCs/>
          <w:sz w:val="24"/>
          <w:szCs w:val="24"/>
        </w:rPr>
        <w:t>utilização</w:t>
      </w:r>
      <w:r w:rsidRPr="004D5EC1">
        <w:rPr>
          <w:rFonts w:ascii="Times New Roman" w:hAnsi="Times New Roman"/>
          <w:i/>
          <w:iCs/>
          <w:sz w:val="24"/>
          <w:szCs w:val="24"/>
        </w:rPr>
        <w:t xml:space="preserve"> dos produtos desinfetantes</w:t>
      </w:r>
      <w:r w:rsidR="004D5EC1">
        <w:rPr>
          <w:rFonts w:ascii="Times New Roman" w:hAnsi="Times New Roman"/>
          <w:i/>
          <w:iCs/>
          <w:sz w:val="24"/>
          <w:szCs w:val="24"/>
        </w:rPr>
        <w:t>.</w:t>
      </w:r>
    </w:p>
    <w:p w14:paraId="19C61EC9" w14:textId="77777777" w:rsidR="00A4404D" w:rsidRPr="004D5EC1" w:rsidRDefault="00A4404D" w:rsidP="00A4404D">
      <w:pPr>
        <w:pStyle w:val="SemEspaamento"/>
        <w:jc w:val="both"/>
        <w:rPr>
          <w:i/>
          <w:iCs/>
        </w:rPr>
      </w:pPr>
    </w:p>
    <w:p w14:paraId="6097D7AA" w14:textId="43EC4EA9" w:rsidR="00A4404D" w:rsidRPr="004D5EC1" w:rsidRDefault="00A4404D" w:rsidP="00A4404D">
      <w:pPr>
        <w:pStyle w:val="SemEspaamento"/>
        <w:jc w:val="both"/>
        <w:rPr>
          <w:rFonts w:ascii="Times New Roman" w:hAnsi="Times New Roman"/>
          <w:i/>
          <w:iCs/>
          <w:sz w:val="24"/>
          <w:szCs w:val="24"/>
        </w:rPr>
      </w:pPr>
      <w:r w:rsidRPr="004D5EC1">
        <w:rPr>
          <w:rFonts w:ascii="Times New Roman" w:hAnsi="Times New Roman"/>
          <w:i/>
          <w:iCs/>
          <w:sz w:val="24"/>
          <w:szCs w:val="24"/>
        </w:rPr>
        <w:t xml:space="preserve">“As medidas recomendadas na presente Nota </w:t>
      </w:r>
      <w:r w:rsidR="004D5EC1" w:rsidRPr="004D5EC1">
        <w:rPr>
          <w:rFonts w:ascii="Times New Roman" w:hAnsi="Times New Roman"/>
          <w:i/>
          <w:iCs/>
          <w:sz w:val="24"/>
          <w:szCs w:val="24"/>
        </w:rPr>
        <w:t>Técnica</w:t>
      </w:r>
      <w:r w:rsidRPr="004D5EC1">
        <w:rPr>
          <w:rFonts w:ascii="Times New Roman" w:hAnsi="Times New Roman"/>
          <w:i/>
          <w:iCs/>
          <w:sz w:val="24"/>
          <w:szCs w:val="24"/>
        </w:rPr>
        <w:t xml:space="preserve"> voltadas ao combate da COVID-19, por meio da </w:t>
      </w:r>
      <w:r w:rsidR="004D5EC1" w:rsidRPr="004D5EC1">
        <w:rPr>
          <w:rFonts w:ascii="Times New Roman" w:hAnsi="Times New Roman"/>
          <w:i/>
          <w:iCs/>
          <w:sz w:val="24"/>
          <w:szCs w:val="24"/>
        </w:rPr>
        <w:t>desinfecção</w:t>
      </w:r>
      <w:r w:rsidRPr="004D5EC1">
        <w:rPr>
          <w:rFonts w:ascii="Times New Roman" w:hAnsi="Times New Roman"/>
          <w:i/>
          <w:iCs/>
          <w:sz w:val="24"/>
          <w:szCs w:val="24"/>
        </w:rPr>
        <w:t xml:space="preserve"> de </w:t>
      </w:r>
      <w:r w:rsidR="004D5EC1" w:rsidRPr="004D5EC1">
        <w:rPr>
          <w:rFonts w:ascii="Times New Roman" w:hAnsi="Times New Roman"/>
          <w:i/>
          <w:iCs/>
          <w:sz w:val="24"/>
          <w:szCs w:val="24"/>
        </w:rPr>
        <w:t>áreas</w:t>
      </w:r>
      <w:r w:rsidRPr="004D5EC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D5EC1" w:rsidRPr="004D5EC1">
        <w:rPr>
          <w:rFonts w:ascii="Times New Roman" w:hAnsi="Times New Roman"/>
          <w:i/>
          <w:iCs/>
          <w:sz w:val="24"/>
          <w:szCs w:val="24"/>
        </w:rPr>
        <w:t>públicas</w:t>
      </w:r>
      <w:r w:rsidRPr="004D5EC1">
        <w:rPr>
          <w:rFonts w:ascii="Times New Roman" w:hAnsi="Times New Roman"/>
          <w:i/>
          <w:iCs/>
          <w:sz w:val="24"/>
          <w:szCs w:val="24"/>
        </w:rPr>
        <w:t xml:space="preserve"> nas cidades visa, principalmente, a </w:t>
      </w:r>
      <w:r w:rsidR="004D5EC1" w:rsidRPr="004D5EC1">
        <w:rPr>
          <w:rFonts w:ascii="Times New Roman" w:hAnsi="Times New Roman"/>
          <w:i/>
          <w:iCs/>
          <w:sz w:val="24"/>
          <w:szCs w:val="24"/>
        </w:rPr>
        <w:t>prevenção</w:t>
      </w:r>
      <w:r w:rsidRPr="004D5EC1">
        <w:rPr>
          <w:rFonts w:ascii="Times New Roman" w:hAnsi="Times New Roman"/>
          <w:i/>
          <w:iCs/>
          <w:sz w:val="24"/>
          <w:szCs w:val="24"/>
        </w:rPr>
        <w:t xml:space="preserve"> dos riscos à </w:t>
      </w:r>
      <w:r w:rsidR="004D5EC1" w:rsidRPr="004D5EC1">
        <w:rPr>
          <w:rFonts w:ascii="Times New Roman" w:hAnsi="Times New Roman"/>
          <w:i/>
          <w:iCs/>
          <w:sz w:val="24"/>
          <w:szCs w:val="24"/>
        </w:rPr>
        <w:t>saúde</w:t>
      </w:r>
      <w:r w:rsidRPr="004D5EC1">
        <w:rPr>
          <w:rFonts w:ascii="Times New Roman" w:hAnsi="Times New Roman"/>
          <w:i/>
          <w:iCs/>
          <w:sz w:val="24"/>
          <w:szCs w:val="24"/>
        </w:rPr>
        <w:t xml:space="preserve"> humana, especialmente no que se refere aos trabalhadores envolvidos no procedimento e da </w:t>
      </w:r>
      <w:r w:rsidR="004D5EC1" w:rsidRPr="004D5EC1">
        <w:rPr>
          <w:rFonts w:ascii="Times New Roman" w:hAnsi="Times New Roman"/>
          <w:i/>
          <w:iCs/>
          <w:sz w:val="24"/>
          <w:szCs w:val="24"/>
        </w:rPr>
        <w:t>população</w:t>
      </w:r>
      <w:r w:rsidRPr="004D5EC1">
        <w:rPr>
          <w:rFonts w:ascii="Times New Roman" w:hAnsi="Times New Roman"/>
          <w:i/>
          <w:iCs/>
          <w:sz w:val="24"/>
          <w:szCs w:val="24"/>
        </w:rPr>
        <w:t xml:space="preserve"> em geral provavelmente exposta. </w:t>
      </w:r>
      <w:r w:rsidR="004D5EC1" w:rsidRPr="004D5EC1">
        <w:rPr>
          <w:rFonts w:ascii="Times New Roman" w:hAnsi="Times New Roman"/>
          <w:i/>
          <w:iCs/>
          <w:sz w:val="24"/>
          <w:szCs w:val="24"/>
        </w:rPr>
        <w:t>Também</w:t>
      </w:r>
      <w:r w:rsidRPr="004D5EC1">
        <w:rPr>
          <w:rFonts w:ascii="Times New Roman" w:hAnsi="Times New Roman"/>
          <w:i/>
          <w:iCs/>
          <w:sz w:val="24"/>
          <w:szCs w:val="24"/>
        </w:rPr>
        <w:t xml:space="preserve"> busca promover as </w:t>
      </w:r>
      <w:r w:rsidR="004D5EC1" w:rsidRPr="004D5EC1">
        <w:rPr>
          <w:rFonts w:ascii="Times New Roman" w:hAnsi="Times New Roman"/>
          <w:i/>
          <w:iCs/>
          <w:sz w:val="24"/>
          <w:szCs w:val="24"/>
        </w:rPr>
        <w:t>orientações</w:t>
      </w:r>
      <w:r w:rsidRPr="004D5EC1">
        <w:rPr>
          <w:rFonts w:ascii="Times New Roman" w:hAnsi="Times New Roman"/>
          <w:i/>
          <w:iCs/>
          <w:sz w:val="24"/>
          <w:szCs w:val="24"/>
        </w:rPr>
        <w:t xml:space="preserve"> gerais sobre os procedimentos, equipamentos de </w:t>
      </w:r>
      <w:r w:rsidR="004D5EC1" w:rsidRPr="004D5EC1">
        <w:rPr>
          <w:rFonts w:ascii="Times New Roman" w:hAnsi="Times New Roman"/>
          <w:i/>
          <w:iCs/>
          <w:sz w:val="24"/>
          <w:szCs w:val="24"/>
        </w:rPr>
        <w:t>aplicação</w:t>
      </w:r>
      <w:r w:rsidRPr="004D5EC1">
        <w:rPr>
          <w:rFonts w:ascii="Times New Roman" w:hAnsi="Times New Roman"/>
          <w:i/>
          <w:iCs/>
          <w:sz w:val="24"/>
          <w:szCs w:val="24"/>
        </w:rPr>
        <w:t xml:space="preserve"> e produtos eficazes contra o novo coronavírus”. </w:t>
      </w:r>
    </w:p>
    <w:p w14:paraId="042B00E3" w14:textId="0A21DEB3" w:rsidR="00A4404D" w:rsidRPr="00596289" w:rsidRDefault="00A4404D" w:rsidP="00A4404D">
      <w:pPr>
        <w:pStyle w:val="NormalWeb"/>
        <w:shd w:val="clear" w:color="auto" w:fill="FFFFFF"/>
        <w:jc w:val="both"/>
        <w:rPr>
          <w:rFonts w:ascii="Calibri" w:hAnsi="Calibri" w:cs="Calibri"/>
          <w:i/>
          <w:iCs/>
          <w:color w:val="FF0000"/>
        </w:rPr>
      </w:pPr>
      <w:r w:rsidRPr="00917A6B">
        <w:t>Recomenda</w:t>
      </w:r>
      <w:r w:rsidR="006C2EF1" w:rsidRPr="00917A6B">
        <w:t xml:space="preserve">-se </w:t>
      </w:r>
      <w:r w:rsidRPr="00917A6B">
        <w:t>utiliza</w:t>
      </w:r>
      <w:r w:rsidR="006C2EF1" w:rsidRPr="00917A6B">
        <w:t>r</w:t>
      </w:r>
      <w:r w:rsidRPr="00917A6B">
        <w:t>, como princípio ativo os amônios quaternários, pela sua eficiência e estudos já comprovados sobre seus efeitos.</w:t>
      </w:r>
      <w:r w:rsidR="006C2EF1" w:rsidRPr="00917A6B">
        <w:t xml:space="preserve"> (</w:t>
      </w:r>
      <w:r w:rsidR="006C2EF1" w:rsidRPr="00917A6B">
        <w:rPr>
          <w:b/>
          <w:bCs/>
        </w:rPr>
        <w:t>Nota</w:t>
      </w:r>
      <w:r w:rsidR="006C2EF1" w:rsidRPr="00917A6B">
        <w:t xml:space="preserve"> </w:t>
      </w:r>
      <w:r w:rsidR="006C2EF1" w:rsidRPr="00917A6B">
        <w:rPr>
          <w:b/>
          <w:bCs/>
        </w:rPr>
        <w:t>Nº 22/2020)</w:t>
      </w:r>
      <w:r w:rsidR="00917A6B">
        <w:rPr>
          <w:rFonts w:ascii="OpenSans" w:hAnsi="OpenSans"/>
          <w:b/>
          <w:bCs/>
          <w:sz w:val="20"/>
          <w:szCs w:val="20"/>
        </w:rPr>
        <w:t xml:space="preserve"> -</w:t>
      </w:r>
      <w:r w:rsidR="00917A6B" w:rsidRPr="006C2EF1">
        <w:rPr>
          <w:i/>
          <w:iCs/>
          <w:color w:val="FF0000"/>
        </w:rPr>
        <w:t xml:space="preserve"> </w:t>
      </w:r>
      <w:r w:rsidR="00917A6B" w:rsidRPr="004D5EC1">
        <w:rPr>
          <w:i/>
          <w:iCs/>
        </w:rPr>
        <w:t>“</w:t>
      </w:r>
      <w:r w:rsidRPr="004D5EC1">
        <w:rPr>
          <w:i/>
          <w:iCs/>
        </w:rPr>
        <w:t xml:space="preserve">Os compostos de </w:t>
      </w:r>
      <w:r w:rsidR="006C2EF1" w:rsidRPr="004D5EC1">
        <w:rPr>
          <w:i/>
          <w:iCs/>
        </w:rPr>
        <w:t>quaternário</w:t>
      </w:r>
      <w:r w:rsidRPr="004D5EC1">
        <w:rPr>
          <w:i/>
          <w:iCs/>
        </w:rPr>
        <w:t xml:space="preserve"> de </w:t>
      </w:r>
      <w:r w:rsidR="006C2EF1" w:rsidRPr="004D5EC1">
        <w:rPr>
          <w:i/>
          <w:iCs/>
        </w:rPr>
        <w:t>amônio</w:t>
      </w:r>
      <w:r w:rsidRPr="004D5EC1">
        <w:rPr>
          <w:i/>
          <w:iCs/>
        </w:rPr>
        <w:t xml:space="preserve"> </w:t>
      </w:r>
      <w:r w:rsidR="006C2EF1" w:rsidRPr="004D5EC1">
        <w:rPr>
          <w:i/>
          <w:iCs/>
        </w:rPr>
        <w:t>são</w:t>
      </w:r>
      <w:r w:rsidRPr="004D5EC1">
        <w:rPr>
          <w:i/>
          <w:iCs/>
        </w:rPr>
        <w:t xml:space="preserve"> amplamente empregados nas </w:t>
      </w:r>
      <w:r w:rsidR="006C2EF1" w:rsidRPr="004D5EC1">
        <w:rPr>
          <w:i/>
          <w:iCs/>
        </w:rPr>
        <w:t>indústrias</w:t>
      </w:r>
      <w:r w:rsidRPr="004D5EC1">
        <w:rPr>
          <w:i/>
          <w:iCs/>
        </w:rPr>
        <w:t xml:space="preserve"> de </w:t>
      </w:r>
      <w:r w:rsidR="006C2EF1" w:rsidRPr="004D5EC1">
        <w:rPr>
          <w:i/>
          <w:iCs/>
        </w:rPr>
        <w:t>cosméticos</w:t>
      </w:r>
      <w:r w:rsidRPr="004D5EC1">
        <w:rPr>
          <w:i/>
          <w:iCs/>
        </w:rPr>
        <w:t xml:space="preserve">, </w:t>
      </w:r>
      <w:r w:rsidR="006C2EF1" w:rsidRPr="004D5EC1">
        <w:rPr>
          <w:i/>
          <w:iCs/>
        </w:rPr>
        <w:t>farmacêutica</w:t>
      </w:r>
      <w:r w:rsidRPr="004D5EC1">
        <w:rPr>
          <w:i/>
          <w:iCs/>
        </w:rPr>
        <w:t xml:space="preserve"> e </w:t>
      </w:r>
      <w:r w:rsidR="006C2EF1" w:rsidRPr="004D5EC1">
        <w:rPr>
          <w:i/>
          <w:iCs/>
        </w:rPr>
        <w:t>domissanitária</w:t>
      </w:r>
      <w:r w:rsidRPr="004D5EC1">
        <w:rPr>
          <w:i/>
          <w:iCs/>
        </w:rPr>
        <w:t xml:space="preserve">, tanto em produtos </w:t>
      </w:r>
      <w:r w:rsidR="006C2EF1" w:rsidRPr="004D5EC1">
        <w:rPr>
          <w:i/>
          <w:iCs/>
        </w:rPr>
        <w:t>domésticos</w:t>
      </w:r>
      <w:r w:rsidRPr="004D5EC1">
        <w:rPr>
          <w:i/>
          <w:iCs/>
        </w:rPr>
        <w:t xml:space="preserve"> com propriedades desinfetantes e </w:t>
      </w:r>
      <w:r w:rsidR="006C2EF1" w:rsidRPr="004D5EC1">
        <w:rPr>
          <w:i/>
          <w:iCs/>
        </w:rPr>
        <w:t>cosméticas</w:t>
      </w:r>
      <w:r w:rsidRPr="004D5EC1">
        <w:rPr>
          <w:i/>
          <w:iCs/>
        </w:rPr>
        <w:t xml:space="preserve">, quanto em medicamentos. Há risco de efeitos adversos como </w:t>
      </w:r>
      <w:r w:rsidR="006C2EF1" w:rsidRPr="004D5EC1">
        <w:rPr>
          <w:i/>
          <w:iCs/>
        </w:rPr>
        <w:t>irritação</w:t>
      </w:r>
      <w:r w:rsidRPr="004D5EC1">
        <w:rPr>
          <w:i/>
          <w:iCs/>
        </w:rPr>
        <w:t xml:space="preserve"> e </w:t>
      </w:r>
      <w:r w:rsidR="006C2EF1" w:rsidRPr="004D5EC1">
        <w:rPr>
          <w:i/>
          <w:iCs/>
        </w:rPr>
        <w:t>sensibilização</w:t>
      </w:r>
      <w:r w:rsidRPr="004D5EC1">
        <w:rPr>
          <w:i/>
          <w:iCs/>
        </w:rPr>
        <w:t xml:space="preserve"> </w:t>
      </w:r>
      <w:r w:rsidR="006C2EF1" w:rsidRPr="004D5EC1">
        <w:rPr>
          <w:i/>
          <w:iCs/>
        </w:rPr>
        <w:t>dérmica</w:t>
      </w:r>
      <w:r w:rsidRPr="004D5EC1">
        <w:rPr>
          <w:i/>
          <w:iCs/>
        </w:rPr>
        <w:t xml:space="preserve">, especialmente nos trabalhadores que se </w:t>
      </w:r>
      <w:r w:rsidR="006C2EF1" w:rsidRPr="004D5EC1">
        <w:rPr>
          <w:i/>
          <w:iCs/>
        </w:rPr>
        <w:t>expõem</w:t>
      </w:r>
      <w:r w:rsidRPr="004D5EC1">
        <w:rPr>
          <w:i/>
          <w:iCs/>
        </w:rPr>
        <w:t xml:space="preserve"> constantemente aos produtos com esses compostos. Mas, tem a vantagem de </w:t>
      </w:r>
      <w:r w:rsidR="006C2EF1" w:rsidRPr="004D5EC1">
        <w:rPr>
          <w:i/>
          <w:iCs/>
        </w:rPr>
        <w:t>não</w:t>
      </w:r>
      <w:r w:rsidRPr="004D5EC1">
        <w:rPr>
          <w:i/>
          <w:iCs/>
        </w:rPr>
        <w:t xml:space="preserve"> corroer os metais”.</w:t>
      </w:r>
      <w:r w:rsidRPr="004D5EC1">
        <w:rPr>
          <w:rFonts w:ascii="Calibri" w:hAnsi="Calibri" w:cs="Calibri"/>
          <w:i/>
          <w:iCs/>
        </w:rPr>
        <w:t xml:space="preserve"> </w:t>
      </w:r>
      <w:r w:rsidRPr="004D5EC1">
        <w:t xml:space="preserve">Para outros produtos é </w:t>
      </w:r>
      <w:r w:rsidR="006C2EF1" w:rsidRPr="004D5EC1">
        <w:t>necessário</w:t>
      </w:r>
      <w:r w:rsidRPr="004D5EC1">
        <w:t xml:space="preserve"> observar as </w:t>
      </w:r>
      <w:r w:rsidR="006C2EF1" w:rsidRPr="004D5EC1">
        <w:t>informações</w:t>
      </w:r>
      <w:r w:rsidRPr="004D5EC1">
        <w:t xml:space="preserve"> constantes do </w:t>
      </w:r>
      <w:r w:rsidR="006C2EF1" w:rsidRPr="004D5EC1">
        <w:t>rótulo</w:t>
      </w:r>
      <w:r w:rsidRPr="004D5EC1">
        <w:t xml:space="preserve">, bula e/ou Ficha de </w:t>
      </w:r>
      <w:r w:rsidR="006C2EF1" w:rsidRPr="004D5EC1">
        <w:t>Segurança</w:t>
      </w:r>
      <w:r w:rsidRPr="004D5EC1">
        <w:t xml:space="preserve"> (FISPQ).</w:t>
      </w:r>
      <w:r w:rsidRPr="004D5EC1">
        <w:rPr>
          <w:rFonts w:ascii="Calibri" w:hAnsi="Calibri" w:cs="Calibri"/>
          <w:i/>
          <w:iCs/>
        </w:rPr>
        <w:t xml:space="preserve"> </w:t>
      </w:r>
    </w:p>
    <w:p w14:paraId="703E7CE6" w14:textId="1B9A8BF8" w:rsidR="00A4404D" w:rsidRPr="006C2EF1" w:rsidRDefault="006C2EF1" w:rsidP="00A4404D">
      <w:pPr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6C2EF1">
        <w:rPr>
          <w:rFonts w:ascii="Times New Roman" w:hAnsi="Times New Roman"/>
          <w:sz w:val="24"/>
          <w:szCs w:val="24"/>
        </w:rPr>
        <w:lastRenderedPageBreak/>
        <w:t>De acordo com a Food Safety Brazil,</w:t>
      </w:r>
      <w:r>
        <w:rPr>
          <w:rFonts w:cs="Calibri"/>
        </w:rPr>
        <w:t xml:space="preserve"> </w:t>
      </w:r>
      <w:r w:rsidR="00A4404D" w:rsidRPr="006C2EF1">
        <w:rPr>
          <w:rFonts w:ascii="Times New Roman" w:hAnsi="Times New Roman"/>
          <w:i/>
          <w:iCs/>
          <w:sz w:val="24"/>
          <w:szCs w:val="24"/>
        </w:rPr>
        <w:t>“QAC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 w:rsidR="00A4404D" w:rsidRPr="006C2EF1">
        <w:rPr>
          <w:rFonts w:ascii="Times New Roman" w:hAnsi="Times New Roman"/>
          <w:i/>
          <w:iCs/>
          <w:sz w:val="24"/>
          <w:szCs w:val="24"/>
        </w:rPr>
        <w:t>s são geralmente inodoros, não mancham, não são corrosivos e relativamente não tóxicos aos usuários. Eles funcionam bem em uma ampla faixa de temperatura e uma ampla faixa de pH, embora a atividade seja maior em temperaturas mais quentes. Concentrações que variam de cerca de 100 ppm a 400 ppm. Como sanitizantes, os QAC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 w:rsidR="00A4404D" w:rsidRPr="006C2EF1">
        <w:rPr>
          <w:rFonts w:ascii="Times New Roman" w:hAnsi="Times New Roman"/>
          <w:i/>
          <w:iCs/>
          <w:sz w:val="24"/>
          <w:szCs w:val="24"/>
        </w:rPr>
        <w:t xml:space="preserve">s são comumente aplicados a 200 ppm, e a solução é deixada secar. Uma vez seco, sobra um resíduo dos compostos QAC e proporciona atividade germicida até ocorrer sua </w:t>
      </w:r>
      <w:r w:rsidRPr="006C2EF1">
        <w:rPr>
          <w:rFonts w:ascii="Times New Roman" w:hAnsi="Times New Roman"/>
          <w:i/>
          <w:iCs/>
          <w:sz w:val="24"/>
          <w:szCs w:val="24"/>
        </w:rPr>
        <w:t>degradação”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*</w:t>
      </w:r>
    </w:p>
    <w:p w14:paraId="431A450F" w14:textId="02B6039B" w:rsidR="00BB4A7E" w:rsidRPr="004D5EC1" w:rsidRDefault="006C2EF1" w:rsidP="004D5EC1">
      <w:pPr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BB4A7E">
        <w:rPr>
          <w:rStyle w:val="Hyperlink"/>
          <w:rFonts w:ascii="Times New Roman" w:hAnsi="Times New Roman"/>
          <w:color w:val="auto"/>
          <w:sz w:val="32"/>
          <w:szCs w:val="32"/>
          <w:u w:val="none"/>
          <w:shd w:val="clear" w:color="auto" w:fill="FFFFFF"/>
          <w:vertAlign w:val="superscript"/>
        </w:rPr>
        <w:t>*</w:t>
      </w:r>
      <w:r w:rsidRPr="006C2EF1">
        <w:rPr>
          <w:rFonts w:ascii="Times New Roman" w:hAnsi="Times New Roman"/>
          <w:sz w:val="20"/>
          <w:szCs w:val="20"/>
        </w:rPr>
        <w:t>(</w:t>
      </w:r>
      <w:hyperlink r:id="rId7" w:history="1">
        <w:r w:rsidRPr="006C2EF1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https://foodsafetybrazil.org/sanitizacao-e-desinfeccao-diferencas-beneficios-cuidados-e-os-principais-quimicos</w:t>
        </w:r>
      </w:hyperlink>
      <w:r w:rsidRPr="006C2EF1">
        <w:rPr>
          <w:rStyle w:val="Hyperlink"/>
          <w:rFonts w:ascii="Times New Roman" w:hAnsi="Times New Roman"/>
          <w:color w:val="auto"/>
          <w:sz w:val="20"/>
          <w:szCs w:val="20"/>
          <w:u w:val="none"/>
          <w:shd w:val="clear" w:color="auto" w:fill="FFFFFF"/>
        </w:rPr>
        <w:t>)</w:t>
      </w:r>
    </w:p>
    <w:p w14:paraId="07E43123" w14:textId="474BD43F" w:rsidR="006C2EF1" w:rsidRPr="00917A6B" w:rsidRDefault="00917A6B" w:rsidP="00BB4A7E">
      <w:pPr>
        <w:pStyle w:val="NormalWeb"/>
        <w:shd w:val="clear" w:color="auto" w:fill="FFFFFF"/>
        <w:rPr>
          <w:sz w:val="32"/>
          <w:szCs w:val="32"/>
          <w:u w:val="single"/>
        </w:rPr>
      </w:pPr>
      <w:r w:rsidRPr="00917A6B">
        <w:rPr>
          <w:b/>
          <w:bCs/>
          <w:sz w:val="32"/>
          <w:szCs w:val="32"/>
          <w:u w:val="single"/>
        </w:rPr>
        <w:t>C</w:t>
      </w:r>
      <w:r w:rsidR="00A4404D" w:rsidRPr="00917A6B">
        <w:rPr>
          <w:b/>
          <w:bCs/>
          <w:sz w:val="32"/>
          <w:szCs w:val="32"/>
          <w:u w:val="single"/>
        </w:rPr>
        <w:t>onclusão</w:t>
      </w:r>
    </w:p>
    <w:p w14:paraId="02D45DEB" w14:textId="1DDEEFE1" w:rsidR="00A4404D" w:rsidRDefault="00A4404D" w:rsidP="007C3FFC">
      <w:pPr>
        <w:jc w:val="both"/>
        <w:rPr>
          <w:rFonts w:ascii="Times New Roman" w:hAnsi="Times New Roman"/>
          <w:sz w:val="24"/>
          <w:szCs w:val="24"/>
        </w:rPr>
      </w:pPr>
      <w:r w:rsidRPr="00BB4A7E">
        <w:rPr>
          <w:rFonts w:ascii="Times New Roman" w:hAnsi="Times New Roman"/>
          <w:sz w:val="24"/>
          <w:szCs w:val="24"/>
        </w:rPr>
        <w:t>Em decorrência do apresentado pela ANVISA até o momento, quanto a segurança e eficácia de produtos sanitizantes em estruturas, como câmeras, tuneis e cabines para desinfecção segue:</w:t>
      </w:r>
    </w:p>
    <w:p w14:paraId="2AF2C49D" w14:textId="1014B0EE" w:rsidR="007C3FFC" w:rsidRPr="007C3FFC" w:rsidRDefault="007C3FFC" w:rsidP="007C3FFC">
      <w:pPr>
        <w:pStyle w:val="NormalWeb"/>
        <w:shd w:val="clear" w:color="auto" w:fill="FFFFFF"/>
        <w:jc w:val="both"/>
      </w:pPr>
      <w:r w:rsidRPr="007C3FFC">
        <w:t xml:space="preserve">Não </w:t>
      </w:r>
      <w:r w:rsidRPr="007C3FFC">
        <w:t>há</w:t>
      </w:r>
      <w:r w:rsidRPr="007C3FFC">
        <w:t xml:space="preserve">́ determinação expressa, em regulamentos técnicos ou em leis que estabeleça tipos de estrutura para desinfecção ou que produtos como os amônios quaternários, tenham que ser previamente validados para a sua utilização em túnel de descontaminação, portanto, a ausência de estudos para esse fim, não impede a utilização dos </w:t>
      </w:r>
      <w:proofErr w:type="spellStart"/>
      <w:r w:rsidRPr="007C3FFC">
        <w:t>QAC</w:t>
      </w:r>
      <w:r>
        <w:t>’</w:t>
      </w:r>
      <w:r w:rsidRPr="007C3FFC">
        <w:t>s</w:t>
      </w:r>
      <w:proofErr w:type="spellEnd"/>
      <w:r w:rsidRPr="007C3FFC">
        <w:t xml:space="preserve">, uma vez que é comprovado cientificamente os seus efeitos. </w:t>
      </w:r>
    </w:p>
    <w:p w14:paraId="2823C515" w14:textId="756B825D" w:rsidR="00A4404D" w:rsidRPr="00BB4A7E" w:rsidRDefault="00A4404D" w:rsidP="007C3FFC">
      <w:pPr>
        <w:jc w:val="both"/>
        <w:rPr>
          <w:rFonts w:ascii="Times New Roman" w:hAnsi="Times New Roman"/>
          <w:sz w:val="24"/>
          <w:szCs w:val="24"/>
        </w:rPr>
      </w:pPr>
      <w:r w:rsidRPr="00BB4A7E">
        <w:rPr>
          <w:rFonts w:ascii="Times New Roman" w:hAnsi="Times New Roman"/>
          <w:sz w:val="24"/>
          <w:szCs w:val="24"/>
        </w:rPr>
        <w:t>Para recomendar a utilização do nosso produto</w:t>
      </w:r>
      <w:r w:rsidR="00917A6B" w:rsidRPr="00BB4A7E">
        <w:rPr>
          <w:rFonts w:ascii="Times New Roman" w:hAnsi="Times New Roman"/>
          <w:sz w:val="24"/>
          <w:szCs w:val="24"/>
        </w:rPr>
        <w:t xml:space="preserve"> </w:t>
      </w:r>
      <w:r w:rsidRPr="00BB4A7E">
        <w:rPr>
          <w:rFonts w:ascii="Times New Roman" w:hAnsi="Times New Roman"/>
          <w:sz w:val="24"/>
          <w:szCs w:val="24"/>
        </w:rPr>
        <w:t xml:space="preserve">Sanitizante </w:t>
      </w:r>
      <w:r w:rsidR="006C2EF1" w:rsidRPr="00BB4A7E">
        <w:rPr>
          <w:rFonts w:ascii="Times New Roman" w:hAnsi="Times New Roman"/>
          <w:sz w:val="24"/>
          <w:szCs w:val="24"/>
        </w:rPr>
        <w:t>Prímula</w:t>
      </w:r>
      <w:r w:rsidR="00917A6B" w:rsidRPr="00BB4A7E">
        <w:rPr>
          <w:rFonts w:ascii="Times New Roman" w:hAnsi="Times New Roman"/>
          <w:sz w:val="24"/>
          <w:szCs w:val="24"/>
        </w:rPr>
        <w:t>, q</w:t>
      </w:r>
      <w:r w:rsidRPr="00BB4A7E">
        <w:rPr>
          <w:rFonts w:ascii="Times New Roman" w:hAnsi="Times New Roman"/>
          <w:sz w:val="24"/>
          <w:szCs w:val="24"/>
        </w:rPr>
        <w:t xml:space="preserve">ue tem como princípio ativo </w:t>
      </w:r>
      <w:r w:rsidR="00BB4A7E" w:rsidRPr="00BB4A7E">
        <w:rPr>
          <w:rFonts w:ascii="Times New Roman" w:hAnsi="Times New Roman"/>
          <w:sz w:val="24"/>
          <w:szCs w:val="24"/>
        </w:rPr>
        <w:t>mistura sinérgica de</w:t>
      </w:r>
      <w:r w:rsidRPr="00BB4A7E">
        <w:rPr>
          <w:rFonts w:ascii="Times New Roman" w:hAnsi="Times New Roman"/>
          <w:sz w:val="24"/>
          <w:szCs w:val="24"/>
        </w:rPr>
        <w:t xml:space="preserve"> quaternário</w:t>
      </w:r>
      <w:r w:rsidR="00BB4A7E" w:rsidRPr="00BB4A7E">
        <w:rPr>
          <w:rFonts w:ascii="Times New Roman" w:hAnsi="Times New Roman"/>
          <w:sz w:val="24"/>
          <w:szCs w:val="24"/>
        </w:rPr>
        <w:t>s</w:t>
      </w:r>
      <w:r w:rsidRPr="00BB4A7E">
        <w:rPr>
          <w:rFonts w:ascii="Times New Roman" w:hAnsi="Times New Roman"/>
          <w:sz w:val="24"/>
          <w:szCs w:val="24"/>
        </w:rPr>
        <w:t xml:space="preserve"> de amônio, </w:t>
      </w:r>
      <w:r w:rsidR="00BB4A7E" w:rsidRPr="00BB4A7E">
        <w:rPr>
          <w:rFonts w:ascii="Times New Roman" w:hAnsi="Times New Roman"/>
          <w:sz w:val="24"/>
          <w:szCs w:val="24"/>
        </w:rPr>
        <w:t xml:space="preserve">com ampla ação bactericida, eficiente contra bactérias gram positivas e gram negativas, vírus, leveduras, algas e fungos, </w:t>
      </w:r>
      <w:r w:rsidRPr="00BB4A7E">
        <w:rPr>
          <w:rFonts w:ascii="Times New Roman" w:hAnsi="Times New Roman"/>
          <w:sz w:val="24"/>
          <w:szCs w:val="24"/>
        </w:rPr>
        <w:t xml:space="preserve">nos valemos através dos estudos já realizados que comprovam a eficácia do uso dos </w:t>
      </w:r>
      <w:r w:rsidR="00BB4A7E" w:rsidRPr="00BB4A7E">
        <w:rPr>
          <w:rFonts w:ascii="Times New Roman" w:hAnsi="Times New Roman"/>
          <w:sz w:val="24"/>
          <w:szCs w:val="24"/>
        </w:rPr>
        <w:t>QAC’s</w:t>
      </w:r>
      <w:r w:rsidRPr="00BB4A7E">
        <w:rPr>
          <w:rFonts w:ascii="Times New Roman" w:hAnsi="Times New Roman"/>
          <w:sz w:val="24"/>
          <w:szCs w:val="24"/>
        </w:rPr>
        <w:t xml:space="preserve"> contra Vírus e bactérias em superfícies, pela baixa restrição toxicológica e que vem sendo utilizado no controle e combate ao Novo Corona vírus em todo o território nacional por recomendação da própria agência. </w:t>
      </w:r>
    </w:p>
    <w:p w14:paraId="356EACE7" w14:textId="2573A7DB" w:rsidR="00A4404D" w:rsidRPr="00BB4A7E" w:rsidRDefault="00A4404D" w:rsidP="007C3FFC">
      <w:pPr>
        <w:jc w:val="both"/>
        <w:rPr>
          <w:rFonts w:cs="Calibri"/>
          <w:sz w:val="24"/>
          <w:szCs w:val="24"/>
        </w:rPr>
      </w:pPr>
      <w:r w:rsidRPr="00BB4A7E">
        <w:rPr>
          <w:rFonts w:ascii="Times New Roman" w:hAnsi="Times New Roman"/>
          <w:sz w:val="24"/>
          <w:szCs w:val="24"/>
        </w:rPr>
        <w:t xml:space="preserve">Na aplicação em tuneis e cabines, o maior contato com a solução do produto ocorrerá em vestimentas, acessórios e calçados, que são superfícies facilitadoras da atividade do produto em função do tempo de secagem. Quanto ao tempo da atividade </w:t>
      </w:r>
      <w:r w:rsidR="00917A6B" w:rsidRPr="00BB4A7E">
        <w:rPr>
          <w:rFonts w:ascii="Times New Roman" w:hAnsi="Times New Roman"/>
          <w:sz w:val="24"/>
          <w:szCs w:val="24"/>
        </w:rPr>
        <w:t>víruscida</w:t>
      </w:r>
      <w:r w:rsidRPr="00BB4A7E">
        <w:rPr>
          <w:rFonts w:ascii="Times New Roman" w:hAnsi="Times New Roman"/>
          <w:sz w:val="24"/>
          <w:szCs w:val="24"/>
        </w:rPr>
        <w:t xml:space="preserve"> nessas superfícies, a solução age até sua total secagem, uma vez seco, sobra um resíduo dos compostos QAC</w:t>
      </w:r>
      <w:r w:rsidR="00BB4A7E" w:rsidRPr="00BB4A7E">
        <w:rPr>
          <w:rFonts w:ascii="Times New Roman" w:hAnsi="Times New Roman"/>
          <w:sz w:val="24"/>
          <w:szCs w:val="24"/>
        </w:rPr>
        <w:t>’s</w:t>
      </w:r>
      <w:r w:rsidRPr="00BB4A7E">
        <w:rPr>
          <w:rFonts w:ascii="Times New Roman" w:hAnsi="Times New Roman"/>
          <w:sz w:val="24"/>
          <w:szCs w:val="24"/>
        </w:rPr>
        <w:t xml:space="preserve"> que proporciona atividade germicida até ocorrer sua degradação.</w:t>
      </w:r>
      <w:r w:rsidR="00917A6B" w:rsidRPr="00BB4A7E">
        <w:rPr>
          <w:rFonts w:ascii="Times New Roman" w:hAnsi="Times New Roman"/>
          <w:sz w:val="24"/>
          <w:szCs w:val="24"/>
        </w:rPr>
        <w:t xml:space="preserve"> </w:t>
      </w:r>
      <w:r w:rsidRPr="00BB4A7E">
        <w:rPr>
          <w:rFonts w:ascii="Times New Roman" w:hAnsi="Times New Roman"/>
          <w:sz w:val="24"/>
          <w:szCs w:val="24"/>
        </w:rPr>
        <w:t xml:space="preserve">Recomendamos ainda que ao fazer o uso desse procedimento, sejam colocados nas cabines ou túneis, de forma visível, avisos que orientem a população. </w:t>
      </w:r>
      <w:r w:rsidR="00917A6B" w:rsidRPr="00BB4A7E">
        <w:rPr>
          <w:rFonts w:ascii="Times New Roman" w:hAnsi="Times New Roman"/>
          <w:sz w:val="24"/>
          <w:szCs w:val="24"/>
        </w:rPr>
        <w:t>E</w:t>
      </w:r>
      <w:r w:rsidRPr="00BB4A7E">
        <w:rPr>
          <w:rFonts w:ascii="Times New Roman" w:hAnsi="Times New Roman"/>
          <w:sz w:val="24"/>
          <w:szCs w:val="24"/>
        </w:rPr>
        <w:t>x: “ESSE PROCEDIMENTO NÃO EXCLUI, A LAVAGEM DAS MÃOS, USO DE MÁSCARAS E DEMAIS ORIENTAÇÕES DA OMS”.</w:t>
      </w:r>
    </w:p>
    <w:p w14:paraId="71EBEF69" w14:textId="5B0FC671" w:rsidR="00A4404D" w:rsidRPr="00BB4A7E" w:rsidRDefault="00A4404D" w:rsidP="007C3FF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4A7E">
        <w:rPr>
          <w:rFonts w:ascii="Times New Roman" w:hAnsi="Times New Roman"/>
          <w:sz w:val="24"/>
          <w:szCs w:val="24"/>
        </w:rPr>
        <w:t>*</w:t>
      </w:r>
      <w:r w:rsidRPr="00BB4A7E">
        <w:rPr>
          <w:rFonts w:ascii="Times New Roman" w:hAnsi="Times New Roman"/>
          <w:color w:val="000000" w:themeColor="text1"/>
          <w:sz w:val="24"/>
          <w:szCs w:val="24"/>
        </w:rPr>
        <w:t xml:space="preserve">Vale reforçar que esse procedimento não inativa o vírus dentro do corpo humano. </w:t>
      </w:r>
    </w:p>
    <w:p w14:paraId="22A6A21D" w14:textId="77777777" w:rsidR="00C26072" w:rsidRDefault="00430116" w:rsidP="00E2078F">
      <w:pPr>
        <w:rPr>
          <w:rFonts w:ascii="Arial" w:hAnsi="Arial" w:cs="Arial"/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87604" wp14:editId="1B542A6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010619" cy="140398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61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8C2A7" w14:textId="77777777" w:rsidR="00430116" w:rsidRPr="00FE4D61" w:rsidRDefault="00FE4D61" w:rsidP="00430116">
                            <w:pPr>
                              <w:pStyle w:val="SemEspaamen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E4D61">
                              <w:rPr>
                                <w:b/>
                                <w:sz w:val="28"/>
                              </w:rPr>
                              <w:t xml:space="preserve">FORWARD QUÍMICA DO BRASIL LTDA </w:t>
                            </w:r>
                          </w:p>
                          <w:p w14:paraId="5A704740" w14:textId="77777777" w:rsidR="00FE4D61" w:rsidRPr="00FE4D61" w:rsidRDefault="00FE4D61" w:rsidP="00430116">
                            <w:pPr>
                              <w:pStyle w:val="SemEspaamen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E4D61">
                              <w:rPr>
                                <w:b/>
                                <w:sz w:val="28"/>
                              </w:rPr>
                              <w:t>CNPJ:01</w:t>
                            </w:r>
                            <w:r>
                              <w:rPr>
                                <w:b/>
                                <w:sz w:val="28"/>
                              </w:rPr>
                              <w:t>.</w:t>
                            </w:r>
                            <w:r w:rsidRPr="00FE4D61">
                              <w:rPr>
                                <w:b/>
                                <w:sz w:val="28"/>
                              </w:rPr>
                              <w:t>049</w:t>
                            </w:r>
                            <w:r>
                              <w:rPr>
                                <w:b/>
                                <w:sz w:val="28"/>
                              </w:rPr>
                              <w:t>.</w:t>
                            </w:r>
                            <w:r w:rsidRPr="00FE4D61">
                              <w:rPr>
                                <w:b/>
                                <w:sz w:val="28"/>
                              </w:rPr>
                              <w:t>546</w:t>
                            </w:r>
                            <w:r>
                              <w:rPr>
                                <w:b/>
                                <w:sz w:val="28"/>
                              </w:rPr>
                              <w:t>/0001-</w:t>
                            </w:r>
                            <w:r w:rsidRPr="00FE4D61">
                              <w:rPr>
                                <w:b/>
                                <w:sz w:val="28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78760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0;width:237.0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" stroked="f">
                <v:textbox style="mso-fit-shape-to-text:t">
                  <w:txbxContent>
                    <w:p w14:paraId="1798C2A7" w14:textId="77777777" w:rsidR="00430116" w:rsidRPr="00FE4D61" w:rsidRDefault="00FE4D61" w:rsidP="00430116">
                      <w:pPr>
                        <w:pStyle w:val="SemEspaamento"/>
                        <w:jc w:val="center"/>
                        <w:rPr>
                          <w:b/>
                          <w:sz w:val="28"/>
                        </w:rPr>
                      </w:pPr>
                      <w:r w:rsidRPr="00FE4D61">
                        <w:rPr>
                          <w:b/>
                          <w:sz w:val="28"/>
                        </w:rPr>
                        <w:t xml:space="preserve">FORWARD QUÍMICA DO BRASIL LTDA </w:t>
                      </w:r>
                    </w:p>
                    <w:p w14:paraId="5A704740" w14:textId="77777777" w:rsidR="00FE4D61" w:rsidRPr="00FE4D61" w:rsidRDefault="00FE4D61" w:rsidP="00430116">
                      <w:pPr>
                        <w:pStyle w:val="SemEspaamento"/>
                        <w:jc w:val="center"/>
                        <w:rPr>
                          <w:b/>
                          <w:sz w:val="28"/>
                        </w:rPr>
                      </w:pPr>
                      <w:r w:rsidRPr="00FE4D61">
                        <w:rPr>
                          <w:b/>
                          <w:sz w:val="28"/>
                        </w:rPr>
                        <w:t>CNPJ:01</w:t>
                      </w:r>
                      <w:r>
                        <w:rPr>
                          <w:b/>
                          <w:sz w:val="28"/>
                        </w:rPr>
                        <w:t>.</w:t>
                      </w:r>
                      <w:r w:rsidRPr="00FE4D61">
                        <w:rPr>
                          <w:b/>
                          <w:sz w:val="28"/>
                        </w:rPr>
                        <w:t>049</w:t>
                      </w:r>
                      <w:r>
                        <w:rPr>
                          <w:b/>
                          <w:sz w:val="28"/>
                        </w:rPr>
                        <w:t>.</w:t>
                      </w:r>
                      <w:r w:rsidRPr="00FE4D61">
                        <w:rPr>
                          <w:b/>
                          <w:sz w:val="28"/>
                        </w:rPr>
                        <w:t>546</w:t>
                      </w:r>
                      <w:r>
                        <w:rPr>
                          <w:b/>
                          <w:sz w:val="28"/>
                        </w:rPr>
                        <w:t>/0001-</w:t>
                      </w:r>
                      <w:r w:rsidRPr="00FE4D61">
                        <w:rPr>
                          <w:b/>
                          <w:sz w:val="28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</w:p>
    <w:p w14:paraId="6DA5FD89" w14:textId="77777777" w:rsidR="00C26072" w:rsidRDefault="00C26072" w:rsidP="00E2078F">
      <w:pPr>
        <w:rPr>
          <w:rFonts w:ascii="Arial" w:hAnsi="Arial" w:cs="Arial"/>
          <w:sz w:val="24"/>
        </w:rPr>
      </w:pPr>
    </w:p>
    <w:p w14:paraId="5A307153" w14:textId="77777777" w:rsidR="00E2078F" w:rsidRPr="00430116" w:rsidRDefault="00E2078F" w:rsidP="00430116">
      <w:pPr>
        <w:tabs>
          <w:tab w:val="left" w:pos="4646"/>
        </w:tabs>
      </w:pPr>
    </w:p>
    <w:sectPr w:rsidR="00E2078F" w:rsidRPr="00430116" w:rsidSect="00C2150F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56C7B" w14:textId="77777777" w:rsidR="004B331B" w:rsidRDefault="004B331B" w:rsidP="002A7A92">
      <w:pPr>
        <w:spacing w:after="0" w:line="240" w:lineRule="auto"/>
      </w:pPr>
      <w:r>
        <w:separator/>
      </w:r>
    </w:p>
  </w:endnote>
  <w:endnote w:type="continuationSeparator" w:id="0">
    <w:p w14:paraId="120292DB" w14:textId="77777777" w:rsidR="004B331B" w:rsidRDefault="004B331B" w:rsidP="002A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2D888" w14:textId="77777777" w:rsidR="00DD7F0C" w:rsidRDefault="00DD7F0C" w:rsidP="00C2150F">
    <w:pPr>
      <w:pStyle w:val="SemEspaamento"/>
      <w:jc w:val="center"/>
      <w:rPr>
        <w:sz w:val="18"/>
        <w:szCs w:val="18"/>
        <w:lang w:eastAsia="pt-BR"/>
      </w:rPr>
    </w:pPr>
  </w:p>
  <w:p w14:paraId="268995A7" w14:textId="77777777" w:rsidR="00C2150F" w:rsidRDefault="00FE4D61" w:rsidP="00C2150F">
    <w:pPr>
      <w:pStyle w:val="SemEspaamento"/>
      <w:jc w:val="center"/>
      <w:rPr>
        <w:sz w:val="18"/>
        <w:szCs w:val="18"/>
        <w:lang w:eastAsia="pt-BR"/>
      </w:rPr>
    </w:pPr>
    <w:r>
      <w:rPr>
        <w:sz w:val="18"/>
        <w:szCs w:val="18"/>
        <w:lang w:eastAsia="pt-BR"/>
      </w:rPr>
      <w:t>FORWARD</w:t>
    </w:r>
    <w:r w:rsidR="00C2150F" w:rsidRPr="00C2150F">
      <w:rPr>
        <w:sz w:val="18"/>
        <w:szCs w:val="18"/>
        <w:lang w:eastAsia="pt-BR"/>
      </w:rPr>
      <w:t xml:space="preserve"> QUIMICA DO BRASIL LTDA C</w:t>
    </w:r>
    <w:r w:rsidR="00C2150F">
      <w:rPr>
        <w:sz w:val="18"/>
        <w:szCs w:val="18"/>
        <w:lang w:eastAsia="pt-BR"/>
      </w:rPr>
      <w:t>.N.P.J/MF: 01.</w:t>
    </w:r>
    <w:r>
      <w:rPr>
        <w:sz w:val="18"/>
        <w:szCs w:val="18"/>
        <w:lang w:eastAsia="pt-BR"/>
      </w:rPr>
      <w:t xml:space="preserve">049.546/0001-08 </w:t>
    </w:r>
  </w:p>
  <w:p w14:paraId="073EDCA5" w14:textId="77777777" w:rsidR="00C2150F" w:rsidRDefault="00C2150F" w:rsidP="00C2150F">
    <w:pPr>
      <w:pStyle w:val="SemEspaamento"/>
      <w:jc w:val="center"/>
      <w:rPr>
        <w:sz w:val="18"/>
        <w:szCs w:val="18"/>
        <w:lang w:eastAsia="pt-BR"/>
      </w:rPr>
    </w:pPr>
    <w:r w:rsidRPr="00C2150F">
      <w:rPr>
        <w:sz w:val="18"/>
        <w:szCs w:val="18"/>
        <w:lang w:eastAsia="pt-BR"/>
      </w:rPr>
      <w:t xml:space="preserve"> </w:t>
    </w:r>
    <w:proofErr w:type="spellStart"/>
    <w:r w:rsidRPr="00C2150F">
      <w:rPr>
        <w:sz w:val="18"/>
        <w:szCs w:val="18"/>
        <w:lang w:eastAsia="pt-BR"/>
      </w:rPr>
      <w:t>Av</w:t>
    </w:r>
    <w:proofErr w:type="spellEnd"/>
    <w:r w:rsidRPr="00C2150F">
      <w:rPr>
        <w:sz w:val="18"/>
        <w:szCs w:val="18"/>
        <w:lang w:eastAsia="pt-BR"/>
      </w:rPr>
      <w:t>: Jos</w:t>
    </w:r>
    <w:r w:rsidR="00FE4D61">
      <w:rPr>
        <w:sz w:val="18"/>
        <w:szCs w:val="18"/>
        <w:lang w:eastAsia="pt-BR"/>
      </w:rPr>
      <w:t>é Carlos Gomes, n° 1200</w:t>
    </w:r>
    <w:r w:rsidRPr="00C2150F">
      <w:rPr>
        <w:sz w:val="18"/>
        <w:szCs w:val="18"/>
        <w:lang w:eastAsia="pt-BR"/>
      </w:rPr>
      <w:t xml:space="preserve"> – Distrito Industrial – Ponta Grossa/PR – Cep: 84043-730</w:t>
    </w:r>
  </w:p>
  <w:p w14:paraId="11A36988" w14:textId="77777777" w:rsidR="00095212" w:rsidRDefault="00C2150F" w:rsidP="00C2150F">
    <w:pPr>
      <w:pStyle w:val="SemEspaamento"/>
      <w:jc w:val="center"/>
      <w:rPr>
        <w:sz w:val="18"/>
        <w:szCs w:val="18"/>
        <w:lang w:eastAsia="pt-BR"/>
      </w:rPr>
    </w:pPr>
    <w:r w:rsidRPr="00C2150F">
      <w:rPr>
        <w:sz w:val="18"/>
        <w:szCs w:val="18"/>
        <w:lang w:eastAsia="pt-BR"/>
      </w:rPr>
      <w:t xml:space="preserve"> Fone/fax: (42) 3228-</w:t>
    </w:r>
    <w:r w:rsidRPr="00F6065E">
      <w:rPr>
        <w:sz w:val="18"/>
        <w:szCs w:val="18"/>
        <w:lang w:eastAsia="pt-BR"/>
      </w:rPr>
      <w:t xml:space="preserve">1919 </w:t>
    </w:r>
    <w:hyperlink r:id="rId1" w:history="1">
      <w:r w:rsidRPr="00F6065E">
        <w:rPr>
          <w:rStyle w:val="Hyperlink"/>
          <w:rFonts w:cs="Calibri"/>
          <w:color w:val="auto"/>
          <w:sz w:val="18"/>
          <w:szCs w:val="18"/>
          <w:lang w:eastAsia="pt-BR"/>
        </w:rPr>
        <w:t>forward@forwardquimica.com.br</w:t>
      </w:r>
    </w:hyperlink>
  </w:p>
  <w:p w14:paraId="451433BD" w14:textId="77777777" w:rsidR="00B93DEE" w:rsidRDefault="00B93DEE" w:rsidP="00C2150F">
    <w:pPr>
      <w:pStyle w:val="SemEspaamento"/>
      <w:jc w:val="center"/>
      <w:rPr>
        <w:sz w:val="18"/>
        <w:szCs w:val="18"/>
        <w:lang w:eastAsia="pt-BR"/>
      </w:rPr>
    </w:pPr>
  </w:p>
  <w:p w14:paraId="3311AF61" w14:textId="77777777" w:rsidR="00C2150F" w:rsidRPr="00F6065E" w:rsidRDefault="00C2150F" w:rsidP="00B93DEE">
    <w:pPr>
      <w:pStyle w:val="SemEspaamento"/>
      <w:jc w:val="center"/>
      <w:rPr>
        <w:sz w:val="18"/>
        <w:szCs w:val="18"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60E50" w14:textId="77777777" w:rsidR="004B331B" w:rsidRDefault="004B331B" w:rsidP="002A7A92">
      <w:pPr>
        <w:spacing w:after="0" w:line="240" w:lineRule="auto"/>
      </w:pPr>
      <w:r>
        <w:separator/>
      </w:r>
    </w:p>
  </w:footnote>
  <w:footnote w:type="continuationSeparator" w:id="0">
    <w:p w14:paraId="33FF47A3" w14:textId="77777777" w:rsidR="004B331B" w:rsidRDefault="004B331B" w:rsidP="002A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C0390" w14:textId="0D46852E" w:rsidR="00C2150F" w:rsidRDefault="00917A6B" w:rsidP="007357BA">
    <w:pPr>
      <w:pStyle w:val="Cabealho"/>
      <w:tabs>
        <w:tab w:val="clear" w:pos="4252"/>
        <w:tab w:val="clear" w:pos="8504"/>
        <w:tab w:val="left" w:pos="1859"/>
        <w:tab w:val="left" w:pos="4956"/>
      </w:tabs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56FF9AB" wp14:editId="29223E28">
              <wp:simplePos x="0" y="0"/>
              <wp:positionH relativeFrom="column">
                <wp:posOffset>2771775</wp:posOffset>
              </wp:positionH>
              <wp:positionV relativeFrom="paragraph">
                <wp:posOffset>302895</wp:posOffset>
              </wp:positionV>
              <wp:extent cx="2943225" cy="5905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75ED6A" w14:textId="341C9CE7" w:rsidR="00917A6B" w:rsidRPr="006E7168" w:rsidRDefault="00917A6B" w:rsidP="00917A6B">
                          <w:pPr>
                            <w:shd w:val="clear" w:color="auto" w:fill="FFFFFF"/>
                            <w:spacing w:before="100" w:beforeAutospacing="1" w:after="100" w:afterAutospacing="1"/>
                            <w:jc w:val="center"/>
                            <w:rPr>
                              <w:rFonts w:ascii="Times New Roman" w:hAnsi="Times New Roman"/>
                              <w:sz w:val="44"/>
                              <w:szCs w:val="44"/>
                            </w:rPr>
                          </w:pPr>
                          <w:r w:rsidRPr="006E7168">
                            <w:rPr>
                              <w:rFonts w:ascii="Times New Roman" w:hAnsi="Times New Roman"/>
                              <w:sz w:val="44"/>
                              <w:szCs w:val="44"/>
                            </w:rPr>
                            <w:t>NOTA TÉCNICA</w:t>
                          </w:r>
                        </w:p>
                        <w:p w14:paraId="61A475AA" w14:textId="4F3B619D" w:rsidR="00917A6B" w:rsidRPr="00917A6B" w:rsidRDefault="00917A6B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FF9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18.25pt;margin-top:23.85pt;width:231.75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" stroked="f">
              <v:textbox>
                <w:txbxContent>
                  <w:p w14:paraId="3E75ED6A" w14:textId="341C9CE7" w:rsidR="00917A6B" w:rsidRPr="006E7168" w:rsidRDefault="00917A6B" w:rsidP="00917A6B">
                    <w:pPr>
                      <w:shd w:val="clear" w:color="auto" w:fill="FFFFFF"/>
                      <w:spacing w:before="100" w:beforeAutospacing="1" w:after="100" w:afterAutospacing="1"/>
                      <w:jc w:val="center"/>
                      <w:rPr>
                        <w:rFonts w:ascii="Times New Roman" w:hAnsi="Times New Roman"/>
                        <w:sz w:val="44"/>
                        <w:szCs w:val="44"/>
                      </w:rPr>
                    </w:pPr>
                    <w:r w:rsidRPr="006E7168">
                      <w:rPr>
                        <w:rFonts w:ascii="Times New Roman" w:hAnsi="Times New Roman"/>
                        <w:sz w:val="44"/>
                        <w:szCs w:val="44"/>
                      </w:rPr>
                      <w:t>NOTA TÉCNICA</w:t>
                    </w:r>
                  </w:p>
                  <w:p w14:paraId="61A475AA" w14:textId="4F3B619D" w:rsidR="00917A6B" w:rsidRPr="00917A6B" w:rsidRDefault="00917A6B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357BA">
      <w:rPr>
        <w:noProof/>
        <w:lang w:eastAsia="pt-BR"/>
      </w:rPr>
      <w:drawing>
        <wp:inline distT="0" distB="0" distL="0" distR="0" wp14:anchorId="66DC81F2" wp14:editId="347214E7">
          <wp:extent cx="1874606" cy="850605"/>
          <wp:effectExtent l="0" t="0" r="0" b="6985"/>
          <wp:docPr id="10" name="Imagem 10" descr="\\forward.interno\dados$\FW\Forward Departamentos\Produção\ROTULO FWI HAND GOLD-SILVER\FWI HAND DESATUALIZADO\FORWARD_Logo_releitura 25-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\\forward.interno\dados$\FW\Forward Departamentos\Produção\ROTULO FWI HAND GOLD-SILVER\FWI HAND DESATUALIZADO\FORWARD_Logo_releitura 25-cr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70" cy="8647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="007357B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46CB"/>
    <w:multiLevelType w:val="hybridMultilevel"/>
    <w:tmpl w:val="2C482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E74F0"/>
    <w:multiLevelType w:val="hybridMultilevel"/>
    <w:tmpl w:val="1CEAB20A"/>
    <w:lvl w:ilvl="0" w:tplc="FDA42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0554A"/>
    <w:multiLevelType w:val="multilevel"/>
    <w:tmpl w:val="89B09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0DF44FD"/>
    <w:multiLevelType w:val="hybridMultilevel"/>
    <w:tmpl w:val="546AE04E"/>
    <w:lvl w:ilvl="0" w:tplc="31F4B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46112"/>
    <w:multiLevelType w:val="hybridMultilevel"/>
    <w:tmpl w:val="43380A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277B2"/>
    <w:multiLevelType w:val="hybridMultilevel"/>
    <w:tmpl w:val="0630BA52"/>
    <w:lvl w:ilvl="0" w:tplc="C5BE7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5F"/>
    <w:rsid w:val="00003D34"/>
    <w:rsid w:val="00012DEE"/>
    <w:rsid w:val="00017899"/>
    <w:rsid w:val="000223A1"/>
    <w:rsid w:val="00031E89"/>
    <w:rsid w:val="000433CF"/>
    <w:rsid w:val="00045320"/>
    <w:rsid w:val="0004693F"/>
    <w:rsid w:val="00046C05"/>
    <w:rsid w:val="0006135B"/>
    <w:rsid w:val="000709D1"/>
    <w:rsid w:val="0007246F"/>
    <w:rsid w:val="00090D0E"/>
    <w:rsid w:val="00092721"/>
    <w:rsid w:val="00095212"/>
    <w:rsid w:val="000B0AE7"/>
    <w:rsid w:val="000C44D4"/>
    <w:rsid w:val="000C730D"/>
    <w:rsid w:val="000D4E2E"/>
    <w:rsid w:val="000F27D4"/>
    <w:rsid w:val="0012123F"/>
    <w:rsid w:val="00124A79"/>
    <w:rsid w:val="0012648C"/>
    <w:rsid w:val="00140AE5"/>
    <w:rsid w:val="001472BA"/>
    <w:rsid w:val="0016230D"/>
    <w:rsid w:val="00175E5D"/>
    <w:rsid w:val="00193AD1"/>
    <w:rsid w:val="001A29DA"/>
    <w:rsid w:val="001A74FA"/>
    <w:rsid w:val="001A78E6"/>
    <w:rsid w:val="001C71A5"/>
    <w:rsid w:val="001D1BB8"/>
    <w:rsid w:val="001F750D"/>
    <w:rsid w:val="00217548"/>
    <w:rsid w:val="002177D8"/>
    <w:rsid w:val="00220C0E"/>
    <w:rsid w:val="00221042"/>
    <w:rsid w:val="00224009"/>
    <w:rsid w:val="00246D74"/>
    <w:rsid w:val="00247D61"/>
    <w:rsid w:val="00283AC1"/>
    <w:rsid w:val="002A6AAA"/>
    <w:rsid w:val="002A7A92"/>
    <w:rsid w:val="002B4FB1"/>
    <w:rsid w:val="002C5B70"/>
    <w:rsid w:val="002D09F5"/>
    <w:rsid w:val="002F5CAD"/>
    <w:rsid w:val="002F6471"/>
    <w:rsid w:val="0030142A"/>
    <w:rsid w:val="00301CB6"/>
    <w:rsid w:val="00314AC2"/>
    <w:rsid w:val="00323076"/>
    <w:rsid w:val="003370EF"/>
    <w:rsid w:val="00340C2D"/>
    <w:rsid w:val="00350FA1"/>
    <w:rsid w:val="00353DA1"/>
    <w:rsid w:val="00361993"/>
    <w:rsid w:val="00362C4F"/>
    <w:rsid w:val="003635A0"/>
    <w:rsid w:val="00364984"/>
    <w:rsid w:val="003721FB"/>
    <w:rsid w:val="003805A0"/>
    <w:rsid w:val="003841F3"/>
    <w:rsid w:val="00390C85"/>
    <w:rsid w:val="003A2156"/>
    <w:rsid w:val="003C14C3"/>
    <w:rsid w:val="003C1902"/>
    <w:rsid w:val="003D0247"/>
    <w:rsid w:val="003D5242"/>
    <w:rsid w:val="003D6BAA"/>
    <w:rsid w:val="004023A2"/>
    <w:rsid w:val="00404F8E"/>
    <w:rsid w:val="00430116"/>
    <w:rsid w:val="004404EB"/>
    <w:rsid w:val="00455A5F"/>
    <w:rsid w:val="00464632"/>
    <w:rsid w:val="004713F0"/>
    <w:rsid w:val="00496203"/>
    <w:rsid w:val="004B331B"/>
    <w:rsid w:val="004B6B20"/>
    <w:rsid w:val="004C64FD"/>
    <w:rsid w:val="004C672D"/>
    <w:rsid w:val="004D5EC1"/>
    <w:rsid w:val="004F10E6"/>
    <w:rsid w:val="004F12EB"/>
    <w:rsid w:val="004F2DDA"/>
    <w:rsid w:val="00511225"/>
    <w:rsid w:val="00511D8F"/>
    <w:rsid w:val="0052758F"/>
    <w:rsid w:val="00555067"/>
    <w:rsid w:val="00555FCD"/>
    <w:rsid w:val="005578B4"/>
    <w:rsid w:val="0058371A"/>
    <w:rsid w:val="00585C89"/>
    <w:rsid w:val="005A651C"/>
    <w:rsid w:val="005A71C2"/>
    <w:rsid w:val="005C0499"/>
    <w:rsid w:val="005C0B65"/>
    <w:rsid w:val="005D5AFC"/>
    <w:rsid w:val="00604B3D"/>
    <w:rsid w:val="00612C88"/>
    <w:rsid w:val="00620DF4"/>
    <w:rsid w:val="00625774"/>
    <w:rsid w:val="006302CD"/>
    <w:rsid w:val="00650C3A"/>
    <w:rsid w:val="00655EF4"/>
    <w:rsid w:val="00675304"/>
    <w:rsid w:val="00694A2D"/>
    <w:rsid w:val="00697A63"/>
    <w:rsid w:val="006A34AB"/>
    <w:rsid w:val="006C2EF1"/>
    <w:rsid w:val="006C5A4D"/>
    <w:rsid w:val="006D08DC"/>
    <w:rsid w:val="006E5ADD"/>
    <w:rsid w:val="006E7168"/>
    <w:rsid w:val="006F12BB"/>
    <w:rsid w:val="0071632E"/>
    <w:rsid w:val="007327E5"/>
    <w:rsid w:val="007357BA"/>
    <w:rsid w:val="00744957"/>
    <w:rsid w:val="0076005C"/>
    <w:rsid w:val="0076688C"/>
    <w:rsid w:val="007760B6"/>
    <w:rsid w:val="007769F4"/>
    <w:rsid w:val="0078368D"/>
    <w:rsid w:val="00792F9D"/>
    <w:rsid w:val="007A22F6"/>
    <w:rsid w:val="007A3FDD"/>
    <w:rsid w:val="007C3FFC"/>
    <w:rsid w:val="007C4EA6"/>
    <w:rsid w:val="007E07B8"/>
    <w:rsid w:val="007F2181"/>
    <w:rsid w:val="007F4074"/>
    <w:rsid w:val="00811373"/>
    <w:rsid w:val="008116D9"/>
    <w:rsid w:val="0081779F"/>
    <w:rsid w:val="00817D93"/>
    <w:rsid w:val="00837CDC"/>
    <w:rsid w:val="00852A89"/>
    <w:rsid w:val="0085487D"/>
    <w:rsid w:val="008603C0"/>
    <w:rsid w:val="00871812"/>
    <w:rsid w:val="0087677D"/>
    <w:rsid w:val="00876A87"/>
    <w:rsid w:val="008A04DB"/>
    <w:rsid w:val="008A0648"/>
    <w:rsid w:val="008B468B"/>
    <w:rsid w:val="008C3B71"/>
    <w:rsid w:val="008E048B"/>
    <w:rsid w:val="008E0A4B"/>
    <w:rsid w:val="008E225E"/>
    <w:rsid w:val="008F5481"/>
    <w:rsid w:val="00905F82"/>
    <w:rsid w:val="00912711"/>
    <w:rsid w:val="009130D9"/>
    <w:rsid w:val="0091343E"/>
    <w:rsid w:val="00916A6C"/>
    <w:rsid w:val="00917A6B"/>
    <w:rsid w:val="0092191E"/>
    <w:rsid w:val="00922DBF"/>
    <w:rsid w:val="009324FD"/>
    <w:rsid w:val="00940C06"/>
    <w:rsid w:val="00944004"/>
    <w:rsid w:val="00946466"/>
    <w:rsid w:val="0095602E"/>
    <w:rsid w:val="0095610D"/>
    <w:rsid w:val="009634CA"/>
    <w:rsid w:val="00982669"/>
    <w:rsid w:val="009839F3"/>
    <w:rsid w:val="009A2BDB"/>
    <w:rsid w:val="009C7899"/>
    <w:rsid w:val="009D7F36"/>
    <w:rsid w:val="009E6F40"/>
    <w:rsid w:val="009F0B93"/>
    <w:rsid w:val="009F49E0"/>
    <w:rsid w:val="00A07759"/>
    <w:rsid w:val="00A13499"/>
    <w:rsid w:val="00A2265B"/>
    <w:rsid w:val="00A27DDD"/>
    <w:rsid w:val="00A4404D"/>
    <w:rsid w:val="00A67DC1"/>
    <w:rsid w:val="00A70E6F"/>
    <w:rsid w:val="00A82459"/>
    <w:rsid w:val="00A84F71"/>
    <w:rsid w:val="00AA09D6"/>
    <w:rsid w:val="00AA771A"/>
    <w:rsid w:val="00AB2CC4"/>
    <w:rsid w:val="00AC0BA6"/>
    <w:rsid w:val="00AC6890"/>
    <w:rsid w:val="00AD25D0"/>
    <w:rsid w:val="00AE0374"/>
    <w:rsid w:val="00AE11E0"/>
    <w:rsid w:val="00B07698"/>
    <w:rsid w:val="00B120B9"/>
    <w:rsid w:val="00B17424"/>
    <w:rsid w:val="00B36CCD"/>
    <w:rsid w:val="00B36D11"/>
    <w:rsid w:val="00B408FE"/>
    <w:rsid w:val="00B4376D"/>
    <w:rsid w:val="00B44432"/>
    <w:rsid w:val="00B4576D"/>
    <w:rsid w:val="00B51A26"/>
    <w:rsid w:val="00B63060"/>
    <w:rsid w:val="00B8658B"/>
    <w:rsid w:val="00B93DEE"/>
    <w:rsid w:val="00BA08C0"/>
    <w:rsid w:val="00BA5C05"/>
    <w:rsid w:val="00BB3AC2"/>
    <w:rsid w:val="00BB4A7E"/>
    <w:rsid w:val="00BD3E8F"/>
    <w:rsid w:val="00BE0CAA"/>
    <w:rsid w:val="00BF2F50"/>
    <w:rsid w:val="00BF525A"/>
    <w:rsid w:val="00BF78AF"/>
    <w:rsid w:val="00C06A9F"/>
    <w:rsid w:val="00C159EB"/>
    <w:rsid w:val="00C2150F"/>
    <w:rsid w:val="00C26072"/>
    <w:rsid w:val="00C459EE"/>
    <w:rsid w:val="00C5243E"/>
    <w:rsid w:val="00C552CA"/>
    <w:rsid w:val="00C922AB"/>
    <w:rsid w:val="00C92BD8"/>
    <w:rsid w:val="00CA58BD"/>
    <w:rsid w:val="00CB3E06"/>
    <w:rsid w:val="00CB4CCA"/>
    <w:rsid w:val="00CB640E"/>
    <w:rsid w:val="00CE404E"/>
    <w:rsid w:val="00CF4F05"/>
    <w:rsid w:val="00CF4F8E"/>
    <w:rsid w:val="00D049D6"/>
    <w:rsid w:val="00D109AA"/>
    <w:rsid w:val="00D112D0"/>
    <w:rsid w:val="00D22AF4"/>
    <w:rsid w:val="00D46955"/>
    <w:rsid w:val="00D47DC6"/>
    <w:rsid w:val="00D51069"/>
    <w:rsid w:val="00D54230"/>
    <w:rsid w:val="00D63D87"/>
    <w:rsid w:val="00D85A3F"/>
    <w:rsid w:val="00DB16C9"/>
    <w:rsid w:val="00DB3C63"/>
    <w:rsid w:val="00DD0D39"/>
    <w:rsid w:val="00DD6CD6"/>
    <w:rsid w:val="00DD772C"/>
    <w:rsid w:val="00DD7F0C"/>
    <w:rsid w:val="00DE5908"/>
    <w:rsid w:val="00DF3170"/>
    <w:rsid w:val="00DF6700"/>
    <w:rsid w:val="00E0390F"/>
    <w:rsid w:val="00E07121"/>
    <w:rsid w:val="00E2078F"/>
    <w:rsid w:val="00E23F4C"/>
    <w:rsid w:val="00E241BD"/>
    <w:rsid w:val="00E3398B"/>
    <w:rsid w:val="00E4147B"/>
    <w:rsid w:val="00E80BED"/>
    <w:rsid w:val="00E81AAF"/>
    <w:rsid w:val="00E86E5C"/>
    <w:rsid w:val="00EA2E65"/>
    <w:rsid w:val="00EA7DA8"/>
    <w:rsid w:val="00ED61CF"/>
    <w:rsid w:val="00ED731C"/>
    <w:rsid w:val="00EE5411"/>
    <w:rsid w:val="00F27CBF"/>
    <w:rsid w:val="00F30CE5"/>
    <w:rsid w:val="00F472D2"/>
    <w:rsid w:val="00F6065E"/>
    <w:rsid w:val="00F83022"/>
    <w:rsid w:val="00F87A94"/>
    <w:rsid w:val="00F955FF"/>
    <w:rsid w:val="00F977BE"/>
    <w:rsid w:val="00FB3404"/>
    <w:rsid w:val="00FB7450"/>
    <w:rsid w:val="00FC5182"/>
    <w:rsid w:val="00FE4D61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04B00"/>
  <w15:docId w15:val="{CF77DFCF-6D7A-4E36-ADDD-BC454227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EF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55A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04693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A7A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7A9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A7A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7A92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7A9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012DEE"/>
    <w:rPr>
      <w:color w:val="0000FF"/>
      <w:u w:val="single"/>
    </w:rPr>
  </w:style>
  <w:style w:type="paragraph" w:customStyle="1" w:styleId="Default">
    <w:name w:val="Default"/>
    <w:rsid w:val="00247D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C2150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440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odsafetybrazil.org/sanitizacao-e-desinfeccao-diferencas-beneficios-cuidados-e-os-principais-quimic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ward@forwardquimic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FISPQ- fluído de corte</vt:lpstr>
    </vt:vector>
  </TitlesOfParts>
  <Company>Microsoft</Company>
  <LinksUpToDate>false</LinksUpToDate>
  <CharactersWithSpaces>5941</CharactersWithSpaces>
  <SharedDoc>false</SharedDoc>
  <HLinks>
    <vt:vector size="6" baseType="variant">
      <vt:variant>
        <vt:i4>7405693</vt:i4>
      </vt:variant>
      <vt:variant>
        <vt:i4>0</vt:i4>
      </vt:variant>
      <vt:variant>
        <vt:i4>0</vt:i4>
      </vt:variant>
      <vt:variant>
        <vt:i4>5</vt:i4>
      </vt:variant>
      <vt:variant>
        <vt:lpwstr>http://msds.chem.ox.ac.uk/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FISPQ- fluído de corte</dc:title>
  <dc:creator>marcelo</dc:creator>
  <cp:lastModifiedBy>Guilherme</cp:lastModifiedBy>
  <cp:revision>7</cp:revision>
  <cp:lastPrinted>2019-11-08T18:42:00Z</cp:lastPrinted>
  <dcterms:created xsi:type="dcterms:W3CDTF">2020-05-15T14:40:00Z</dcterms:created>
  <dcterms:modified xsi:type="dcterms:W3CDTF">2020-05-19T16:31:00Z</dcterms:modified>
</cp:coreProperties>
</file>